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75A" w:rsidRPr="00A95D8C" w:rsidRDefault="009E575A" w:rsidP="009E575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>- триггер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триггером называется триггер с одним информационным входом, работающий так, что сигнал на выходе после переключения равен сигналу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до переключения, т. е. </w:t>
      </w:r>
      <w:r w:rsidR="003D5F45" w:rsidRPr="00A95D8C">
        <w:rPr>
          <w:noProof/>
          <w:position w:val="-12"/>
          <w:sz w:val="28"/>
          <w:szCs w:val="28"/>
        </w:rPr>
        <w:object w:dxaOrig="1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62.8pt;height:21.45pt;mso-width-percent:0;mso-height-percent:0;mso-width-percent:0;mso-height-percent:0" o:ole="">
            <v:imagedata r:id="rId4" o:title=""/>
          </v:shape>
          <o:OLEObject Type="Embed" ProgID="Equation.3" ShapeID="_x0000_i1037" DrawAspect="Content" ObjectID="_1819388024" r:id="rId5"/>
        </w:object>
      </w:r>
      <w:r w:rsidRPr="00A95D8C">
        <w:rPr>
          <w:sz w:val="28"/>
          <w:szCs w:val="28"/>
        </w:rPr>
        <w:t xml:space="preserve">. Основное назначение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триггеров- задержка сигнала, поданного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Он имеет информационный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(вход данных) и вход синхронизации С. Вход синхронизации С может быть статическим (потенциальным) и динамическим. У триггеров со статическим входом С информация записывается в течение времени, при котором уровень сигнала С=1. В триггерах с динамическим входом С информация записывается только в течение перепада напряжения на входе С. Динамический вход изображают на схемах треугольником. Если вершина треугольника обращена в сторону микросхемы (прямой динамический вход), то триггер срабатывает по фронту входного импульса, если от нее (инверсный динамический вход) – по срезу импульса. В таком триггере информация на выходе может быть задержана на один такт по отношению к входной информации.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триггеры могут быть построены по различным схемам. На рис.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показана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И- НЕ и его условное обозначение. Триггер имеет прямые статические входы (управляющий сигнал- уровень логической единицы).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1 и </w:t>
      </w:r>
      <w:r w:rsidRPr="00A95D8C">
        <w:rPr>
          <w:sz w:val="28"/>
          <w:szCs w:val="28"/>
          <w:lang w:val="en-US"/>
        </w:rPr>
        <w:t>D</w:t>
      </w:r>
      <w:proofErr w:type="gramStart"/>
      <w:r w:rsidRPr="00A95D8C">
        <w:rPr>
          <w:sz w:val="28"/>
          <w:szCs w:val="28"/>
        </w:rPr>
        <w:t>2  выполнена</w:t>
      </w:r>
      <w:proofErr w:type="gramEnd"/>
      <w:r w:rsidRPr="00A95D8C">
        <w:rPr>
          <w:sz w:val="28"/>
          <w:szCs w:val="28"/>
        </w:rPr>
        <w:t xml:space="preserve"> схема управления, а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</w:t>
      </w:r>
      <w:proofErr w:type="gramStart"/>
      <w:r w:rsidRPr="00A95D8C">
        <w:rPr>
          <w:sz w:val="28"/>
          <w:szCs w:val="28"/>
        </w:rPr>
        <w:t xml:space="preserve">и  </w:t>
      </w:r>
      <w:r w:rsidRPr="00A95D8C">
        <w:rPr>
          <w:sz w:val="28"/>
          <w:szCs w:val="28"/>
          <w:lang w:val="en-US"/>
        </w:rPr>
        <w:t>D</w:t>
      </w:r>
      <w:proofErr w:type="gramEnd"/>
      <w:r w:rsidRPr="00A95D8C">
        <w:rPr>
          <w:sz w:val="28"/>
          <w:szCs w:val="28"/>
        </w:rPr>
        <w:t xml:space="preserve">4 асинхронный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5257800" cy="2514600"/>
            <wp:effectExtent l="0" t="0" r="0" b="0"/>
            <wp:docPr id="3" name="Рисунок 3" descr="Д-триг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-тригг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3.1 -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 на элементах И- НЕ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уровень сигнала на входе С=0, то состояние триггера устойчиво и не зависит от уровня сигнала на информационном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При этом входы асинхронного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триггера с инверсными входами (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4) поступают пассивные уровни </w:t>
      </w:r>
      <w:r w:rsidR="003D5F45" w:rsidRPr="00A95D8C">
        <w:rPr>
          <w:noProof/>
          <w:position w:val="-6"/>
          <w:sz w:val="28"/>
          <w:szCs w:val="28"/>
        </w:rPr>
        <w:object w:dxaOrig="1080" w:dyaOrig="380">
          <v:shape id="_x0000_i1036" type="#_x0000_t75" alt="" style="width:54.4pt;height:18.4pt;mso-width-percent:0;mso-height-percent:0;mso-width-percent:0;mso-height-percent:0" o:ole="">
            <v:imagedata r:id="rId7" o:title=""/>
          </v:shape>
          <o:OLEObject Type="Embed" ProgID="Equation.3" ShapeID="_x0000_i1036" DrawAspect="Content" ObjectID="_1819388025" r:id="rId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на вход синхронизации уровня С=1 информация на прямом выходе повторять информацию, подаваемую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Следовательно, при С=0 </w:t>
      </w:r>
      <w:r w:rsidR="003D5F45" w:rsidRPr="00A95D8C">
        <w:rPr>
          <w:noProof/>
          <w:position w:val="-12"/>
          <w:sz w:val="28"/>
          <w:szCs w:val="28"/>
        </w:rPr>
        <w:object w:dxaOrig="1260" w:dyaOrig="440">
          <v:shape id="_x0000_i1035" type="#_x0000_t75" alt="" style="width:62.8pt;height:21.45pt;mso-width-percent:0;mso-height-percent:0;mso-width-percent:0;mso-height-percent:0" o:ole="">
            <v:imagedata r:id="rId9" o:title=""/>
          </v:shape>
          <o:OLEObject Type="Embed" ProgID="Equation.3" ShapeID="_x0000_i1035" DrawAspect="Content" ObjectID="_1819388026" r:id="rId10"/>
        </w:object>
      </w:r>
      <w:r w:rsidRPr="00A95D8C">
        <w:rPr>
          <w:sz w:val="28"/>
          <w:szCs w:val="28"/>
        </w:rPr>
        <w:t xml:space="preserve">, а при С=1 </w:t>
      </w:r>
      <w:r w:rsidR="003D5F45" w:rsidRPr="00A95D8C">
        <w:rPr>
          <w:noProof/>
          <w:position w:val="-12"/>
          <w:sz w:val="28"/>
          <w:szCs w:val="28"/>
        </w:rPr>
        <w:object w:dxaOrig="1260" w:dyaOrig="440">
          <v:shape id="_x0000_i1034" type="#_x0000_t75" alt="" style="width:62.8pt;height:21.45pt;mso-width-percent:0;mso-height-percent:0;mso-width-percent:0;mso-height-percent:0" o:ole="">
            <v:imagedata r:id="rId11" o:title=""/>
          </v:shape>
          <o:OLEObject Type="Embed" ProgID="Equation.3" ShapeID="_x0000_i1034" DrawAspect="Content" ObjectID="_1819388027" r:id="rId12"/>
        </w:object>
      </w:r>
      <w:r w:rsidRPr="00A95D8C">
        <w:rPr>
          <w:sz w:val="28"/>
          <w:szCs w:val="28"/>
        </w:rPr>
        <w:t xml:space="preserve">, временные диаграммы, поясняющие работу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триггера, приведены на рис. 3.1, </w:t>
      </w:r>
      <w:r w:rsidRPr="00A95D8C">
        <w:rPr>
          <w:i/>
          <w:sz w:val="28"/>
          <w:szCs w:val="28"/>
        </w:rPr>
        <w:t>б.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переходов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в полной и сокращенной форме представлена в таблице 3.1, </w:t>
      </w:r>
      <w:r w:rsidRPr="00A95D8C">
        <w:rPr>
          <w:i/>
          <w:sz w:val="28"/>
          <w:szCs w:val="28"/>
        </w:rPr>
        <w:t xml:space="preserve">а </w:t>
      </w:r>
      <w:proofErr w:type="gramStart"/>
      <w:r w:rsidRPr="00A95D8C">
        <w:rPr>
          <w:sz w:val="28"/>
          <w:szCs w:val="28"/>
        </w:rPr>
        <w:t xml:space="preserve">и </w:t>
      </w:r>
      <w:r w:rsidRPr="00A95D8C">
        <w:rPr>
          <w:i/>
          <w:sz w:val="28"/>
          <w:szCs w:val="28"/>
        </w:rPr>
        <w:t xml:space="preserve"> б</w:t>
      </w:r>
      <w:proofErr w:type="gramEnd"/>
      <w:r w:rsidRPr="00A95D8C">
        <w:rPr>
          <w:i/>
          <w:sz w:val="28"/>
          <w:szCs w:val="28"/>
        </w:rPr>
        <w:t xml:space="preserve"> </w:t>
      </w:r>
      <w:r w:rsidRPr="00A95D8C">
        <w:rPr>
          <w:sz w:val="28"/>
          <w:szCs w:val="28"/>
        </w:rPr>
        <w:t>соответственно.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отсутствие тактирующих импульсов триггер находится в режиме хранения ранее полученной информации. С приходом импульса синхронизации происходит запись информации, установленной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Поскольку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триггеров без синхронизации не существует, то первые четыре строки таблицы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можно исключить, в результате получим сокращенную таблицу состояний (табл. 3.1,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9E575A" w:rsidRPr="009E575A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Таблица 3.1 – 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полная таблица (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>); сокращенная (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1260"/>
        <w:gridCol w:w="1260"/>
        <w:gridCol w:w="1260"/>
      </w:tblGrid>
      <w:tr w:rsidR="009E575A" w:rsidRPr="00A95D8C" w:rsidTr="0097468D">
        <w:tc>
          <w:tcPr>
            <w:tcW w:w="3888" w:type="dxa"/>
            <w:gridSpan w:val="3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  <w:r w:rsidRPr="00A95D8C">
              <w:rPr>
                <w:sz w:val="28"/>
                <w:szCs w:val="28"/>
              </w:rPr>
              <w:t>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 </w:t>
            </w:r>
            <w:r w:rsidR="003D5F45" w:rsidRPr="00A95D8C">
              <w:rPr>
                <w:noProof/>
                <w:position w:val="-6"/>
                <w:sz w:val="28"/>
                <w:szCs w:val="28"/>
              </w:rPr>
              <w:object w:dxaOrig="400" w:dyaOrig="380">
                <v:shape id="_x0000_i1033" type="#_x0000_t75" alt="" style="width:19.9pt;height:18.4pt;mso-width-percent:0;mso-height-percent:0;mso-width-percent:0;mso-height-percent:0" o:ole="">
                  <v:imagedata r:id="rId13" o:title=""/>
                </v:shape>
                <o:OLEObject Type="Embed" ProgID="Equation.3" ShapeID="_x0000_i1033" DrawAspect="Content" ObjectID="_1819388028" r:id="rId14"/>
              </w:object>
            </w:r>
          </w:p>
        </w:tc>
        <w:tc>
          <w:tcPr>
            <w:tcW w:w="1260" w:type="dxa"/>
          </w:tcPr>
          <w:p w:rsidR="009E575A" w:rsidRPr="00A95D8C" w:rsidRDefault="003D5F45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4"/>
                <w:sz w:val="28"/>
                <w:szCs w:val="28"/>
              </w:rPr>
              <w:object w:dxaOrig="420" w:dyaOrig="360">
                <v:shape id="_x0000_i1032" type="#_x0000_t75" alt="" style="width:20.7pt;height:18.4pt;mso-width-percent:0;mso-height-percent:0;mso-width-percent:0;mso-height-percent:0" o:ole="">
                  <v:imagedata r:id="rId15" o:title=""/>
                </v:shape>
                <o:OLEObject Type="Embed" ProgID="Equation.3" ShapeID="_x0000_i1032" DrawAspect="Content" ObjectID="_1819388029" r:id="rId16"/>
              </w:object>
            </w:r>
          </w:p>
        </w:tc>
        <w:tc>
          <w:tcPr>
            <w:tcW w:w="1260" w:type="dxa"/>
          </w:tcPr>
          <w:p w:rsidR="009E575A" w:rsidRPr="00A95D8C" w:rsidRDefault="003D5F45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40">
                <v:shape id="_x0000_i1031" type="#_x0000_t75" alt="" style="width:19.9pt;height:21.45pt;mso-width-percent:0;mso-height-percent:0;mso-width-percent:0;mso-height-percent:0" o:ole="">
                  <v:imagedata r:id="rId17" o:title=""/>
                </v:shape>
                <o:OLEObject Type="Embed" ProgID="Equation.3" ShapeID="_x0000_i1031" DrawAspect="Content" ObjectID="_1819388030" r:id="rId18"/>
              </w:object>
            </w:r>
          </w:p>
        </w:tc>
        <w:tc>
          <w:tcPr>
            <w:tcW w:w="1260" w:type="dxa"/>
          </w:tcPr>
          <w:p w:rsidR="009E575A" w:rsidRPr="00A95D8C" w:rsidRDefault="003D5F45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40">
                <v:shape id="_x0000_i1030" type="#_x0000_t75" alt="" style="width:29.85pt;height:21.45pt;mso-width-percent:0;mso-height-percent:0;mso-width-percent:0;mso-height-percent:0" o:ole="">
                  <v:imagedata r:id="rId19" o:title=""/>
                </v:shape>
                <o:OLEObject Type="Embed" ProgID="Equation.3" ShapeID="_x0000_i1030" DrawAspect="Content" ObjectID="_1819388031" r:id="rId20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7174" w:tblpY="73"/>
        <w:tblW w:w="0" w:type="auto"/>
        <w:tblLook w:val="01E0" w:firstRow="1" w:lastRow="1" w:firstColumn="1" w:lastColumn="1" w:noHBand="0" w:noVBand="0"/>
      </w:tblPr>
      <w:tblGrid>
        <w:gridCol w:w="1368"/>
        <w:gridCol w:w="1620"/>
      </w:tblGrid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3D5F45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4"/>
                <w:sz w:val="28"/>
                <w:szCs w:val="28"/>
              </w:rPr>
              <w:object w:dxaOrig="420" w:dyaOrig="360">
                <v:shape id="_x0000_i1029" type="#_x0000_t75" alt="" style="width:20.7pt;height:18.4pt;mso-width-percent:0;mso-height-percent:0;mso-width-percent:0;mso-height-percent:0" o:ole="">
                  <v:imagedata r:id="rId15" o:title=""/>
                </v:shape>
                <o:OLEObject Type="Embed" ProgID="Equation.3" ShapeID="_x0000_i1029" DrawAspect="Content" ObjectID="_1819388032" r:id="rId21"/>
              </w:object>
            </w:r>
          </w:p>
        </w:tc>
        <w:tc>
          <w:tcPr>
            <w:tcW w:w="1620" w:type="dxa"/>
          </w:tcPr>
          <w:p w:rsidR="009E575A" w:rsidRPr="00A95D8C" w:rsidRDefault="003D5F45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40">
                <v:shape id="_x0000_i1028" type="#_x0000_t75" alt="" style="width:29.85pt;height:21.45pt;mso-width-percent:0;mso-height-percent:0;mso-width-percent:0;mso-height-percent:0" o:ole="">
                  <v:imagedata r:id="rId19" o:title=""/>
                </v:shape>
                <o:OLEObject Type="Embed" ProgID="Equation.3" ShapeID="_x0000_i1028" DrawAspect="Content" ObjectID="_1819388033" r:id="rId22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</w:tbl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      </w:t>
      </w:r>
      <w:r w:rsidRPr="00A95D8C">
        <w:rPr>
          <w:i/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            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i/>
          <w:sz w:val="28"/>
          <w:szCs w:val="28"/>
        </w:rPr>
        <w:t xml:space="preserve"> а)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 запишется в виде:</w:t>
      </w:r>
    </w:p>
    <w:p w:rsidR="009E575A" w:rsidRPr="00A95D8C" w:rsidRDefault="003D5F45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position w:val="-12"/>
          <w:sz w:val="28"/>
          <w:szCs w:val="28"/>
        </w:rPr>
        <w:object w:dxaOrig="200" w:dyaOrig="380">
          <v:shape id="_x0000_i1027" type="#_x0000_t75" alt="" style="width:9.95pt;height:18.4pt;mso-width-percent:0;mso-height-percent:0;mso-width-percent:0;mso-height-percent:0" o:ole="">
            <v:imagedata r:id="rId23" o:title=""/>
          </v:shape>
          <o:OLEObject Type="Embed" ProgID="Equation.3" ShapeID="_x0000_i1027" DrawAspect="Content" ObjectID="_1819388034" r:id="rId24"/>
        </w:object>
      </w:r>
      <w:r w:rsidRPr="00A95D8C">
        <w:rPr>
          <w:noProof/>
          <w:position w:val="-12"/>
          <w:sz w:val="28"/>
          <w:szCs w:val="28"/>
        </w:rPr>
        <w:object w:dxaOrig="1620" w:dyaOrig="440">
          <v:shape id="_x0000_i1026" type="#_x0000_t75" alt="" style="width:81.2pt;height:21.45pt;mso-width-percent:0;mso-height-percent:0;mso-width-percent:0;mso-height-percent:0" o:ole="">
            <v:imagedata r:id="rId25" o:title=""/>
          </v:shape>
          <o:OLEObject Type="Embed" ProgID="Equation.3" ShapeID="_x0000_i1026" DrawAspect="Content" ObjectID="_1819388035" r:id="rId26"/>
        </w:object>
      </w:r>
    </w:p>
    <w:p w:rsidR="009E575A" w:rsidRPr="00A95D8C" w:rsidRDefault="009E575A" w:rsidP="009E575A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или в сокращенной форме: </w:t>
      </w:r>
      <w:r w:rsidR="003D5F45" w:rsidRPr="00A95D8C">
        <w:rPr>
          <w:noProof/>
          <w:position w:val="-12"/>
          <w:sz w:val="28"/>
          <w:szCs w:val="28"/>
        </w:rPr>
        <w:object w:dxaOrig="1260" w:dyaOrig="440">
          <v:shape id="_x0000_i1025" type="#_x0000_t75" alt="" style="width:62.8pt;height:21.45pt;mso-width-percent:0;mso-height-percent:0;mso-width-percent:0;mso-height-percent:0" o:ole="">
            <v:imagedata r:id="rId27" o:title=""/>
          </v:shape>
          <o:OLEObject Type="Embed" ProgID="Equation.3" ShapeID="_x0000_i1025" DrawAspect="Content" ObjectID="_1819388036" r:id="rId2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Поскольку триггер задерживает на один такт информацию, поданную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предыдущем такте, то он получил название триггер «задержки».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Недостатком статического способа синхронизации является то, что запись информации происходит в течение длительности импульса синхронизации и любое изменение сигнала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это время приводит к изменению выходного сигнала.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lastRenderedPageBreak/>
        <w:t xml:space="preserve">Программная реализация </w:t>
      </w:r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-триггера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триггера, только асинхронный триггер нужно заменить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– </w:t>
      </w:r>
      <w:r w:rsidRPr="00A95D8C">
        <w:rPr>
          <w:sz w:val="28"/>
          <w:szCs w:val="28"/>
        </w:rPr>
        <w:t>триггера из группы цифровых устройств (3).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7146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2.6 – Принципиальная схема для исследования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– триггера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5A"/>
    <w:rsid w:val="0034426A"/>
    <w:rsid w:val="003D5F45"/>
    <w:rsid w:val="006919DF"/>
    <w:rsid w:val="009111C2"/>
    <w:rsid w:val="009E575A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8646D-E473-4143-BD51-7D50EF8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2025-09-14T15:41:00Z</dcterms:created>
  <dcterms:modified xsi:type="dcterms:W3CDTF">2025-09-14T15:41:00Z</dcterms:modified>
</cp:coreProperties>
</file>